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роект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40"/>
        <w:tabs>
          <w:tab w:val="clear" w:pos="720"/>
          <w:tab w:val="left" w:pos="8931" w:leader="none"/>
        </w:tabs>
        <w:spacing w:lineRule="auto" w:line="240"/>
        <w:ind w:left="0" w:right="0"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0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</w:t>
      </w: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приказ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Министерства агропромышленного комплекса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>и развития сельских территорий Ульяновской области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от 28.03.2022 № 17</w:t>
      </w:r>
      <w:r>
        <w:rPr>
          <w:rFonts w:cs="PT Astra Serif" w:ascii="PT Astra Serif" w:hAnsi="PT Astra Serif"/>
          <w:b/>
          <w:bCs/>
          <w:sz w:val="28"/>
          <w:szCs w:val="28"/>
        </w:rPr>
        <w:br/>
      </w:r>
    </w:p>
    <w:p>
      <w:pPr>
        <w:pStyle w:val="Normal"/>
        <w:spacing w:lineRule="auto" w:line="228"/>
        <w:jc w:val="center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ConsPlusNormal1"/>
        <w:widowControl w:val="false"/>
        <w:suppressAutoHyphens w:val="true"/>
        <w:bidi w:val="0"/>
        <w:ind w:left="0" w:right="0" w:firstLine="737"/>
        <w:jc w:val="both"/>
        <w:rPr/>
      </w:pPr>
      <w:bookmarkStart w:id="0" w:name="Par01"/>
      <w:bookmarkStart w:id="1" w:name="Par28"/>
      <w:r>
        <w:rPr>
          <w:rFonts w:ascii="PT Astra Serif" w:hAnsi="PT Astra Serif"/>
          <w:sz w:val="28"/>
          <w:szCs w:val="28"/>
        </w:rPr>
        <w:t>Приказываю:</w:t>
      </w:r>
    </w:p>
    <w:p>
      <w:pPr>
        <w:pStyle w:val="ConsPlusNormal1"/>
        <w:widowControl w:val="false"/>
        <w:suppressAutoHyphens w:val="true"/>
        <w:bidi w:val="0"/>
        <w:spacing w:before="16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 xml:space="preserve">Внести в </w:t>
      </w:r>
      <w:r>
        <w:rPr>
          <w:rFonts w:ascii="PT Astra Serif" w:hAnsi="PT Astra Serif"/>
          <w:color w:val="000000"/>
          <w:sz w:val="28"/>
          <w:szCs w:val="28"/>
        </w:rPr>
        <w:t xml:space="preserve">приказ </w:t>
      </w:r>
      <w:r>
        <w:rPr>
          <w:rFonts w:ascii="PT Astra Serif" w:hAnsi="PT Astra Serif"/>
          <w:sz w:val="28"/>
          <w:szCs w:val="28"/>
        </w:rPr>
        <w:t>Министерства агропромышленного комплекса</w:t>
        <w:br/>
        <w:t>и развития сельских территорий Ульяновской области от 28 марта 2022 г. № 17 «О некоторых мерах, направленных на предоставление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</w:t>
        <w:br/>
        <w:t>из областного бюджета Ульяновской области в целях финансового обеспечения их затрат, связанных с развитием семейных ферм»следующие изменения:</w:t>
      </w:r>
    </w:p>
    <w:p>
      <w:pPr>
        <w:pStyle w:val="Style35"/>
        <w:widowControl w:val="false"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1) Приложение № </w:t>
      </w:r>
      <w:r>
        <w:rPr>
          <w:rFonts w:ascii="PT Astra Serif" w:hAnsi="PT Astra Serif"/>
          <w:sz w:val="28"/>
          <w:szCs w:val="28"/>
        </w:rPr>
        <w:t>4 дополнить строками следующего содержания:</w:t>
      </w:r>
    </w:p>
    <w:p>
      <w:pPr>
        <w:pStyle w:val="NoSpacing"/>
        <w:widowControl w:val="false"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129" w:type="dxa"/>
        <w:jc w:val="left"/>
        <w:tblInd w:w="2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1"/>
        <w:gridCol w:w="1040"/>
        <w:gridCol w:w="2368"/>
      </w:tblGrid>
      <w:tr>
        <w:trPr/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Камышекосилки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hyperlink r:id="rId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04.0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2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.0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7</w:t>
              </w:r>
            </w:hyperlink>
          </w:p>
        </w:tc>
      </w:tr>
      <w:tr>
        <w:trPr/>
        <w:tc>
          <w:tcPr>
            <w:tcW w:w="5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Мотопомпы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04.02.09</w:t>
            </w:r>
          </w:p>
        </w:tc>
      </w:tr>
      <w:tr>
        <w:trPr/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0"/>
                <w:sz w:val="24"/>
                <w:szCs w:val="24"/>
                <w:u w:val="none"/>
                <w:lang w:val="ru-RU" w:eastAsia="zh-CN" w:bidi="ar-SA"/>
              </w:rPr>
              <w:t>Косилки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-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/>
            </w:pPr>
            <w:hyperlink r:id="rId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04.0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2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.</w:t>
              </w:r>
            </w:hyperlink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11</w:t>
            </w:r>
          </w:p>
        </w:tc>
      </w:tr>
    </w:tbl>
    <w:p>
      <w:pPr>
        <w:pStyle w:val="Normal"/>
        <w:widowControl w:val="false"/>
        <w:jc w:val="right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>»;</w:t>
      </w:r>
    </w:p>
    <w:p>
      <w:pPr>
        <w:pStyle w:val="Style35"/>
        <w:widowControl w:val="false"/>
        <w:suppressAutoHyphens w:val="true"/>
        <w:bidi w:val="0"/>
        <w:spacing w:before="0" w:after="0"/>
        <w:ind w:left="0" w:right="0" w:firstLine="737"/>
        <w:jc w:val="both"/>
        <w:rPr/>
      </w:pPr>
      <w:hyperlink r:id="rId4">
        <w:r>
          <w:rPr>
            <w:rFonts w:ascii="PT Astra Serif" w:hAnsi="PT Astra Serif"/>
            <w:color w:val="000000"/>
            <w:sz w:val="28"/>
            <w:szCs w:val="28"/>
          </w:rPr>
          <w:t xml:space="preserve">2) </w:t>
        </w:r>
        <w:r>
          <w:rPr>
            <w:rFonts w:ascii="PT Astra Serif" w:hAnsi="PT Astra Serif"/>
            <w:color w:val="000000"/>
            <w:sz w:val="28"/>
            <w:szCs w:val="28"/>
          </w:rPr>
          <w:t xml:space="preserve">Приложение № 8 </w:t>
        </w:r>
        <w:r>
          <w:rPr>
            <w:rFonts w:ascii="PT Astra Serif" w:hAnsi="PT Astra Serif"/>
            <w:sz w:val="28"/>
            <w:szCs w:val="28"/>
          </w:rPr>
          <w:t>изложить в следующей редакции:</w:t>
        </w:r>
      </w:hyperlink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PT Astra Serif" w:hAnsi="PT Astra Serif"/>
          <w:sz w:val="28"/>
          <w:szCs w:val="28"/>
        </w:rPr>
      </w:pPr>
      <w:hyperlink r:id="rId5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«Приложение № 8</w:t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6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к приказу</w:t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7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Министерства агропромышленного комплекса</w:t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8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и развития сельских территорий</w:t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9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Ульяновской области</w:t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10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от 28 марта 2022 г. № 17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hyperlink r:id="rId11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</w:r>
      </w:hyperlink>
    </w:p>
    <w:p>
      <w:pPr>
        <w:pStyle w:val="Normal"/>
        <w:ind w:left="0" w:hanging="0"/>
        <w:jc w:val="right"/>
        <w:rPr>
          <w:rFonts w:ascii="PT Astra Serif" w:hAnsi="PT Astra Serif"/>
          <w:sz w:val="28"/>
          <w:szCs w:val="28"/>
        </w:rPr>
      </w:pPr>
      <w:hyperlink r:id="rId12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ФОРМА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hyperlink r:id="rId13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hyperlink r:id="rId14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ОЦЕНОЧНАЯ ВЕДОМОСТЬ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hyperlink r:id="rId15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проекта развития семейной фермы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hyperlink r:id="rId16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hyperlink r:id="rId17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____________________________________________________________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18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(наименование крестьянского (фермерского) хозяйства -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19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юридического лица или фамилия, имя и отчества (последнее -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20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в случае наличия) индивидуального предпринимателя,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21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являющегося главой крестьянского (фермерского) хозяйства)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8"/>
          <w:szCs w:val="28"/>
        </w:rPr>
      </w:pPr>
      <w:hyperlink r:id="rId22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____________________________________________________________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23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(наименование муниципального образования</w:t>
        </w:r>
      </w:hyperlink>
    </w:p>
    <w:p>
      <w:pPr>
        <w:pStyle w:val="Normal"/>
        <w:ind w:left="0" w:hanging="0"/>
        <w:jc w:val="center"/>
        <w:rPr>
          <w:rFonts w:ascii="PT Astra Serif" w:hAnsi="PT Astra Serif"/>
          <w:sz w:val="20"/>
          <w:szCs w:val="20"/>
        </w:rPr>
      </w:pPr>
      <w:hyperlink r:id="rId24"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Ульяновской области)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hyperlink r:id="rId25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</w:r>
      </w:hyperlink>
    </w:p>
    <w:tbl>
      <w:tblPr>
        <w:tblW w:w="969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5787"/>
        <w:gridCol w:w="1362"/>
        <w:gridCol w:w="1980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№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п/п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Показатели оценки</w:t>
              </w:r>
            </w:hyperlink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проекта развития семейной фермы</w:t>
              </w:r>
            </w:hyperlink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(далее - проект)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Оценка (баллы)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Указывается оценка (балл) членом конкурсной комиссии</w:t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Срок окупаемости: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3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3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3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менее 4 лет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3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 лет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4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6 лет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4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4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4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 лет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5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более 7 лет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5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5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Объём выручки от реализации сельскохозяйственной продукции за предыдущий год: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5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5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менее 500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6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500 - 1000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6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6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1001 - 1500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7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1501 - 2000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7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более 2000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7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Наличие у крестьянского (фермерского) хозяйства собственных ресурсов, используемых на реализацию проекта: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8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8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за каждые 500 тыс. рублей стоимости собственных ресурсов, используемых на реализацию проекта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1,</w:t>
              </w:r>
            </w:hyperlink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но не более 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8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отсутствие у крестьянского (фермерского) хозяйства собственных ресурсов для использования</w:t>
                <w:br/>
                <w:t>их на реализацию проекта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9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Приоритетность вида экономической деятельности, предусмотренного проектом: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9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9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9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разведение молочного крупного рогатого скота, производство сырого молока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0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разведение мясного и прочего крупного рогатого скота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0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выращивание овощей, картофеля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0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разведение овец и коз, кроликов и прочих пушных зверей на фермах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1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разведение сельскохозяйственной птицы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1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6)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1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растениеводство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1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2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2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рыбоводство пресноводное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2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2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Наличие у крестьянского (фермерского) хозяйства земель сельскохозяйственного назначения</w:t>
                <w:br/>
                <w:t xml:space="preserve">для обеспечения кормовой базы,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выращивания овощей открытого грунта и картофеля,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 принадлежащих ему</w:t>
                <w:br/>
                <w:t>на праве собственности, аренды и (или) безвозмездного пользования сроком не менее 1 года: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2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2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наличие у крестьянского (фермерского) хозяйства земель сельскохозяйственного назначения</w:t>
                <w:br/>
                <w:t xml:space="preserve">для обеспечения кормовой базы,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выращивания овощей открытого грунта и картофеля,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 принадлежащих ему</w:t>
                <w:br/>
                <w:t>на праве собственности, аренды и (или) безвозмездного пользования сроком не менее 1 года, площадью 100 и более гектаров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3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наличие у крестьянского (фермерского) хозяйства земель сельскохозяйственного назначения</w:t>
                <w:br/>
                <w:t xml:space="preserve">для обеспечения кормовой базы,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выращивания овощей открытого грунта и картофеля,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 принадлежащих ему</w:t>
                <w:br/>
                <w:t>на праве собственности, аренды и (или) безвозмездного пользования сроком не менее 1 года, площадью менее 100 гектаров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3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3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отсутствие у крестьянского (фермерского) хозяйства земель сельскохозяйственного назначения</w:t>
                <w:br/>
                <w:t xml:space="preserve">для обеспечения кормовой базы,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 xml:space="preserve">выращивания овощей открытого грунта и картофеля, 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принадлежащих ему</w:t>
                <w:br/>
                <w:t>на праве собственности, аренды и (или) безвозмездного пользования сроком не менее 1 года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4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6.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Наличие у крестьянского (фермерского) хозяйства</w:t>
                <w:br/>
                <w:t>на праве собственности поголовья сельскохозяйственных животных (за исключением свиней) и (или) птицы суммарно: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4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4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4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поголовья крупного рогатого скота молочного и (или) мясного направлений продуктивности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4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поголовья овец, коз, кроликов и (или) прочих пушных зверей на фермах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5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поголовья сельскохозяйственной птицы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5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7.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5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Планирование приобретения сельскохозяйственных животных (за исключением свиней) и (или) птицы: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5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6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6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планирование приобретения поголовья крупного рогатого скота молочного или мясного направлений продуктивности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6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6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планирование приобретения поголовья других сельскохозяйственных животных (за исключением свиней) и (или) птицы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6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7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непланирование приобретения сельскохозяйственных животных и птицы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7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8.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7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Проектом предусматриваются ежегодные налоговые платежи в размере: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7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7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7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 150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7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8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8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 100 до 150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8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8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до 100 тыс. рублей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8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9.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9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Планирование главой крестьянского (фермерского) хозяйства </w:t>
              </w:r>
              <w:r>
                <w:rPr>
                  <w:rFonts w:eastAsia="Times New Roman" w:cs="Times New Roman" w:ascii="PT Astra Serif" w:hAnsi="PT Astra Serif"/>
                  <w:b w:val="false"/>
                  <w:i w:val="false"/>
                  <w:strike w:val="false"/>
                  <w:dstrike w:val="false"/>
                  <w:color w:val="auto"/>
                  <w:kern w:val="0"/>
                  <w:sz w:val="24"/>
                  <w:szCs w:val="24"/>
                  <w:u w:val="none"/>
                  <w:lang w:val="ru-RU" w:eastAsia="zh-CN" w:bidi="ar-SA"/>
                </w:rPr>
                <w:t>трудоустройства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 новых постоянных </w:t>
              </w:r>
              <w:r>
                <w:rPr>
                  <w:rFonts w:eastAsia="Times New Roman" w:cs="Times New Roman" w:ascii="PT Astra Serif" w:hAnsi="PT Astra Serif"/>
                  <w:b w:val="false"/>
                  <w:i w:val="false"/>
                  <w:strike w:val="false"/>
                  <w:dstrike w:val="false"/>
                  <w:color w:val="auto"/>
                  <w:kern w:val="0"/>
                  <w:sz w:val="24"/>
                  <w:szCs w:val="24"/>
                  <w:u w:val="none"/>
                  <w:lang w:val="ru-RU" w:eastAsia="zh-CN" w:bidi="ar-SA"/>
                </w:rPr>
                <w:t>работников</w:t>
              </w:r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 xml:space="preserve"> в срок не позднее 24 месяцев со дня получения гранта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 балл</w:t>
              </w:r>
            </w:hyperlink>
          </w:p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за трудоуст-ройство каждого нового постоян-ного работника, но не более 10 баллов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9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19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9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Планируемый уровень заработной платы работников</w:t>
                <w:br/>
                <w:t>в первый и последующие годы реализации проекта</w:t>
                <w:br/>
                <w:t>по сравнению с минимальным размером оплаты труда (далее - МРОТ), установленным в соответствии</w:t>
                <w:br/>
                <w:t>с законодательством Российской Федерации на дату подачи заявки: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9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19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9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9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более 2 МРОТ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0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0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 1,5 до 2 МРОТ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0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0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от 1 до 1,5 МРОТ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0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0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4)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менее 1 МРОТ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1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21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11.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Членство крестьянского (фермерского) хозяйства</w:t>
                <w:br/>
                <w:t>в сельскохозяйственном потребительском кооперативе на дату подачи заявки: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1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1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1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является членом сельскохозяйственного потребительского кооператива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2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2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не является членом сельскохозяйственного потребительского кооператива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2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2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22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12.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2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Участие крестьянского (фермерского) хозяйства</w:t>
                <w:br/>
                <w:t>в торговых ярмарках: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2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2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3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участвует в торговых ярмарках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3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3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не участвует в торговых ярмарках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3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3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23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13.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3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Признание семьи главы крестьянского (фермерского) хозяйства многодетной семьёй: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4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4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4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если семья главы крестьянского (фермерского) хозяйства признана в установленном порядке многодетной семьёй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4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2)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4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если семья главы крестьянского (фермерского) хозяйства не признана в установленном порядке многодетной семьёй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8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0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49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sz w:val="24"/>
                <w:szCs w:val="24"/>
              </w:rPr>
            </w:pPr>
            <w:hyperlink r:id="rId250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14.</w:t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51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Оценка членом конкурсной комиссии эффективности реализации проекта по результатам очного собеседования с главой крестьянского (фермерского) хозяйства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2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до 10 баллов включительно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53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54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255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Итого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56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  <w:t>х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hanging="0"/>
              <w:jc w:val="left"/>
              <w:rPr>
                <w:rFonts w:ascii="PT Astra Serif" w:hAnsi="PT Astra Serif"/>
                <w:b w:val="false"/>
                <w:b w:val="false"/>
                <w:i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</w:pPr>
            <w:hyperlink r:id="rId257">
              <w:r>
                <w:rPr>
                  <w:rFonts w:ascii="PT Astra Serif" w:hAnsi="PT Astra Serif"/>
                  <w:b w:val="false"/>
                  <w:i w:val="false"/>
                  <w:strike w:val="false"/>
                  <w:dstrike w:val="false"/>
                  <w:sz w:val="24"/>
                  <w:szCs w:val="24"/>
                  <w:u w:val="none"/>
                </w:rPr>
              </w:r>
            </w:hyperlink>
          </w:p>
        </w:tc>
      </w:tr>
    </w:tbl>
    <w:p>
      <w:pPr>
        <w:pStyle w:val="Normal"/>
        <w:widowControl w:val="false"/>
        <w:ind w:left="0" w:hanging="0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sz w:val="28"/>
          <w:szCs w:val="28"/>
          <w:u w:val="none"/>
        </w:rPr>
      </w:pPr>
      <w:hyperlink r:id="rId258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hyperlink r:id="rId259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Член конкурсной комиссии ________ ____________________________________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hyperlink r:id="rId260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                                                   </w:t>
        </w:r>
        <w:r>
          <w:rPr>
            <w:rFonts w:ascii="PT Astra Serif" w:hAnsi="PT Astra Serif"/>
            <w:b w:val="false"/>
            <w:i w:val="false"/>
            <w:strike w:val="false"/>
            <w:dstrike w:val="false"/>
            <w:sz w:val="20"/>
            <w:szCs w:val="20"/>
            <w:u w:val="none"/>
          </w:rPr>
          <w:t>(подпись)                               (фамилия, имя, отчество)</w:t>
        </w:r>
      </w:hyperlink>
    </w:p>
    <w:p>
      <w:pPr>
        <w:pStyle w:val="Normal"/>
        <w:ind w:left="0" w:hanging="0"/>
        <w:jc w:val="both"/>
        <w:rPr>
          <w:rFonts w:ascii="PT Astra Serif" w:hAnsi="PT Astra Serif"/>
          <w:sz w:val="28"/>
          <w:szCs w:val="28"/>
        </w:rPr>
      </w:pPr>
      <w:hyperlink r:id="rId261">
        <w:r>
          <w:rPr>
            <w:rFonts w:ascii="PT Astra Serif" w:hAnsi="PT Astra Serif"/>
            <w:b w:val="false"/>
            <w:i w:val="false"/>
            <w:strike w:val="false"/>
            <w:dstrike w:val="false"/>
            <w:sz w:val="28"/>
            <w:szCs w:val="28"/>
            <w:u w:val="none"/>
          </w:rPr>
          <w:t>«____» __________________ г.»</w:t>
        </w:r>
      </w:hyperlink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737"/>
        <w:jc w:val="both"/>
        <w:rPr>
          <w:sz w:val="22"/>
          <w:szCs w:val="22"/>
        </w:rPr>
      </w:pPr>
      <w:hyperlink r:id="rId262">
        <w:r>
          <w:rPr>
            <w:rFonts w:cs="PT Astra Serif" w:ascii="PT Astra Serif" w:hAnsi="PT Astra Serif"/>
            <w:sz w:val="28"/>
            <w:szCs w:val="28"/>
          </w:rPr>
          <w:t>2. Настоящий приказ вступает в силу на следующий день после дня его официального опубликования.</w:t>
        </w:r>
      </w:hyperlink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hyperlink r:id="rId263">
        <w:r>
          <w:rPr>
            <w:rFonts w:ascii="PT Astra Serif" w:hAnsi="PT Astra Serif"/>
          </w:rPr>
        </w:r>
      </w:hyperlink>
    </w:p>
    <w:p>
      <w:pPr>
        <w:pStyle w:val="Normal"/>
        <w:rPr>
          <w:rFonts w:ascii="PT Astra Serif" w:hAnsi="PT Astra Serif" w:eastAsia="Helvetica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pPr>
      <w:hyperlink r:id="rId264">
        <w:r>
          <w:rPr>
            <w:rFonts w:eastAsia="Helvetica" w:cs="PT Astra Serif" w:ascii="PT Astra Serif" w:hAnsi="PT Astra Serif"/>
            <w:b w:val="false"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</w:r>
      </w:hyperlink>
    </w:p>
    <w:p>
      <w:pPr>
        <w:pStyle w:val="Normal"/>
        <w:rPr>
          <w:rFonts w:ascii="PT Astra Serif" w:hAnsi="PT Astra Serif" w:eastAsia="Helvetica" w:cs="PT Astra Serif"/>
          <w:b w:val="false"/>
          <w:b w:val="false"/>
          <w:i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</w:pPr>
      <w:hyperlink r:id="rId265">
        <w:r>
          <w:rPr>
            <w:rFonts w:eastAsia="Helvetica" w:cs="PT Astra Serif" w:ascii="PT Astra Serif" w:hAnsi="PT Astra Serif"/>
            <w:b w:val="false"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</w:r>
      </w:hyperlink>
    </w:p>
    <w:p>
      <w:pPr>
        <w:pStyle w:val="Normal"/>
        <w:spacing w:lineRule="auto" w:line="240"/>
        <w:rPr>
          <w:rFonts w:ascii="PT Astra Serif" w:hAnsi="PT Astra Serif"/>
        </w:rPr>
      </w:pPr>
      <w:hyperlink r:id="rId266">
        <w:r>
          <w:rPr>
            <w:rFonts w:eastAsia="Helvetica" w:cs="PT Astra Serif" w:ascii="PT Astra Serif" w:hAnsi="PT Astra Serif"/>
            <w:b w:val="false"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  <w:t>Министр агропромышленного</w:t>
        </w:r>
      </w:hyperlink>
    </w:p>
    <w:p>
      <w:pPr>
        <w:pStyle w:val="Normal"/>
        <w:spacing w:lineRule="auto" w:line="240"/>
        <w:rPr>
          <w:rFonts w:ascii="PT Astra Serif" w:hAnsi="PT Astra Serif"/>
        </w:rPr>
      </w:pPr>
      <w:hyperlink r:id="rId267">
        <w:r>
          <w:rPr>
            <w:rFonts w:eastAsia="Helvetica" w:cs="PT Astra Serif" w:ascii="PT Astra Serif" w:hAnsi="PT Astra Serif"/>
            <w:b w:val="false"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  <w:t xml:space="preserve">комплекса и развития </w:t>
        </w:r>
        <w:bookmarkStart w:id="2" w:name="__DdeLink__4916_1529185555"/>
        <w:r>
          <w:rPr>
            <w:rFonts w:eastAsia="Helvetica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  <w:t>сельских</w:t>
        </w:r>
      </w:hyperlink>
    </w:p>
    <w:p>
      <w:pPr>
        <w:pStyle w:val="Normal"/>
        <w:spacing w:lineRule="auto" w:line="240"/>
        <w:rPr>
          <w:rFonts w:ascii="PT Astra Serif" w:hAnsi="PT Astra Serif"/>
        </w:rPr>
      </w:pPr>
      <w:hyperlink r:id="rId268">
        <w:r>
          <w:rPr>
            <w:rFonts w:eastAsia="Helvetica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en-US" w:bidi="ar-SA"/>
          </w:rPr>
          <w:t>территорий Ульяновской области</w:t>
          <w:tab/>
          <w:tab/>
          <w:t xml:space="preserve"> </w:t>
        </w:r>
        <w:r>
          <w:rPr>
            <w:rFonts w:eastAsia="Calibri" w:cs="PT Astra Serif" w:ascii="PT Astra Serif" w:hAnsi="PT Astra Serif"/>
            <w:b w:val="false"/>
            <w:bCs/>
            <w:i w:val="false"/>
            <w:strike w:val="false"/>
            <w:dstrike w:val="false"/>
            <w:color w:val="000000"/>
            <w:spacing w:val="-4"/>
            <w:kern w:val="0"/>
            <w:sz w:val="28"/>
            <w:szCs w:val="28"/>
            <w:u w:val="none"/>
            <w:shd w:fill="FFFFFF" w:val="clear"/>
            <w:lang w:val="ru-RU" w:eastAsia="zh-CN" w:bidi="ar-SA"/>
          </w:rPr>
          <w:t xml:space="preserve">                                          М.И.Семёнкин</w:t>
        </w:r>
      </w:hyperlink>
      <w:bookmarkEnd w:id="0"/>
      <w:bookmarkEnd w:id="1"/>
      <w:bookmarkEnd w:id="2"/>
    </w:p>
    <w:sectPr>
      <w:headerReference w:type="default" r:id="rId269"/>
      <w:type w:val="nextPage"/>
      <w:pgSz w:w="11906" w:h="16838"/>
      <w:pgMar w:left="1701" w:right="567" w:header="579" w:top="114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5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Style26"/>
    <w:next w:val="Style27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Style13">
    <w:name w:val="Номер страницы"/>
    <w:basedOn w:val="Style12"/>
    <w:rPr/>
  </w:style>
  <w:style w:type="character" w:styleId="Style14">
    <w:name w:val="Верхний колонтитул Знак"/>
    <w:qFormat/>
    <w:rPr>
      <w:sz w:val="24"/>
      <w:szCs w:val="24"/>
      <w:lang w:val="ru-RU" w:bidi="ar-SA"/>
    </w:rPr>
  </w:style>
  <w:style w:type="character" w:styleId="Style15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6">
    <w:name w:val="Основной текст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Нумерация строк"/>
    <w:rPr/>
  </w:style>
  <w:style w:type="character" w:styleId="Style19">
    <w:name w:val="Название Знак"/>
    <w:basedOn w:val="Style12"/>
    <w:qFormat/>
    <w:rPr>
      <w:b/>
      <w:bCs/>
      <w:sz w:val="24"/>
      <w:szCs w:val="24"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  <w:lang w:val="ru-RU"/>
    </w:rPr>
  </w:style>
  <w:style w:type="character" w:styleId="Style20">
    <w:name w:val="Гипертекстовая ссылка"/>
    <w:qFormat/>
    <w:rPr>
      <w:rFonts w:cs="Times New Roman"/>
      <w:color w:val="106BBE"/>
    </w:rPr>
  </w:style>
  <w:style w:type="character" w:styleId="Style21">
    <w:name w:val="Символ сноски"/>
    <w:qFormat/>
    <w:rPr/>
  </w:style>
  <w:style w:type="character" w:styleId="Style22">
    <w:name w:val="Привязка сноски"/>
    <w:rPr>
      <w:vertAlign w:val="superscript"/>
    </w:rPr>
  </w:style>
  <w:style w:type="character" w:styleId="Style23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4">
    <w:name w:val="Привязка концевой сноски"/>
    <w:rPr>
      <w:vertAlign w:val="superscript"/>
    </w:rPr>
  </w:style>
  <w:style w:type="character" w:styleId="Style25">
    <w:name w:val="Символ нумерации"/>
    <w:qFormat/>
    <w:rPr/>
  </w:style>
  <w:style w:type="paragraph" w:styleId="Style26">
    <w:name w:val="Заголовок"/>
    <w:basedOn w:val="Normal"/>
    <w:next w:val="Style29"/>
    <w:qFormat/>
    <w:pPr>
      <w:jc w:val="center"/>
    </w:pPr>
    <w:rPr>
      <w:b/>
      <w:bCs/>
    </w:rPr>
  </w:style>
  <w:style w:type="paragraph" w:styleId="Style27">
    <w:name w:val="Body Text"/>
    <w:basedOn w:val="Normal"/>
    <w:next w:val="Style29"/>
    <w:pPr>
      <w:jc w:val="both"/>
    </w:pPr>
    <w:rPr>
      <w:sz w:val="28"/>
      <w:szCs w:val="20"/>
      <w:lang w:val="ru-RU"/>
    </w:rPr>
  </w:style>
  <w:style w:type="paragraph" w:styleId="Style28">
    <w:name w:val="List"/>
    <w:basedOn w:val="Style29"/>
    <w:next w:val="Style30"/>
    <w:pPr/>
    <w:rPr>
      <w:rFonts w:ascii="PT Sans" w:hAnsi="PT Sans" w:cs="Noto Sans Devanagari"/>
    </w:rPr>
  </w:style>
  <w:style w:type="paragraph" w:styleId="Style29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0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1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2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1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2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3">
    <w:name w:val="Колонтитул"/>
    <w:basedOn w:val="Normal"/>
    <w:qFormat/>
    <w:pPr/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Title"/>
    <w:basedOn w:val="Normal"/>
    <w:qFormat/>
    <w:pPr>
      <w:jc w:val="center"/>
    </w:pPr>
    <w:rPr>
      <w:b/>
      <w:bCs/>
    </w:rPr>
  </w:style>
  <w:style w:type="paragraph" w:styleId="Style41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4002DFFA426EB39B61FDBF483BAB3B7C88D3A6893014B0379C9B57553C20610AF9803AA31F52AB81A3C56DE73DB03A5F38908BBD8FAB421I1m6E" TargetMode="External"/><Relationship Id="rId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3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4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5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6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7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8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9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0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1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2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3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4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5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6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7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8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19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0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1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2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3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4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59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0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1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2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3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4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5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6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7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8" Type="http://schemas.openxmlformats.org/officeDocument/2006/relationships/hyperlink" Target="consultantplus://offline/ref=14002DFFA426EB39B61FDBF483BAB3B7C88D3A6893014B0379C9B57553C20610AF9803AA31F52ABD123C56DE73DB03A5F38908BBD8FAB421I1m6E" TargetMode="External"/><Relationship Id="rId269" Type="http://schemas.openxmlformats.org/officeDocument/2006/relationships/header" Target="header1.xml"/><Relationship Id="rId270" Type="http://schemas.openxmlformats.org/officeDocument/2006/relationships/numbering" Target="numbering.xml"/><Relationship Id="rId271" Type="http://schemas.openxmlformats.org/officeDocument/2006/relationships/fontTable" Target="fontTable.xml"/><Relationship Id="rId27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13685</TotalTime>
  <Application>LibreOffice/7.1.1.2$Windows_X86_64 LibreOffice_project/fe0b08f4af1bacafe4c7ecc87ce55bb426164676</Application>
  <AppVersion>15.0000</AppVersion>
  <Pages>5</Pages>
  <Words>871</Words>
  <Characters>5799</Characters>
  <CharactersWithSpaces>6587</CharactersWithSpaces>
  <Paragraphs>212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2023-03-02T08:38:00Z</dcterms:created>
  <dc:creator>!!!</dc:creator>
  <dc:description/>
  <dc:language>ru-RU</dc:language>
  <cp:lastModifiedBy/>
  <cp:lastPrinted>2023-03-02T09:05:34Z</cp:lastPrinted>
  <dcterms:modified xsi:type="dcterms:W3CDTF">2023-03-02T09:07:13Z</dcterms:modified>
  <cp:revision>1183</cp:revision>
  <dc:subject/>
  <dc:title>Приказ министерства агропромышленного комплекса и развития сельских территорий Ульяновской обл. от 28.03.2022 N 17"О некоторых мерах, направленных на предоставление крестьянским (фермерским) хозяйствам и индивидуальным предпринимателям, являющимся главами крестьянских (фермерских) хозяйств, грантов в форме субсидий из областного бюджета Ульяновской области в целях финансового обеспечения их затрат, связанных с развитием семейных ферм"(вместе с "Перечнем относящихся к сельским территориям Ульяновской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